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4E4" w:rsidRDefault="005934E4" w:rsidP="005934E4">
      <w:pPr>
        <w:pStyle w:val="Heading1"/>
      </w:pPr>
      <w:bookmarkStart w:id="0" w:name="_GoBack"/>
      <w:bookmarkEnd w:id="0"/>
      <w:r>
        <w:t>HEIF – Skills for Solent Focus Group</w:t>
      </w:r>
      <w:r w:rsidR="00F85FD3">
        <w:t>/on-line</w:t>
      </w:r>
      <w:r>
        <w:t xml:space="preserve"> draft questionnaire</w:t>
      </w:r>
    </w:p>
    <w:p w:rsidR="005934E4" w:rsidRDefault="005934E4" w:rsidP="005934E4"/>
    <w:p w:rsidR="005934E4" w:rsidRDefault="005934E4" w:rsidP="005934E4">
      <w:r>
        <w:t>The focus groups will be led by Southampton Solent University in collaboration with our stakeholder partners.</w:t>
      </w:r>
      <w:r w:rsidR="008607F6">
        <w:t xml:space="preserve"> The focus groups will take place during the weeks commencing June 20</w:t>
      </w:r>
      <w:r w:rsidR="008607F6" w:rsidRPr="008607F6">
        <w:rPr>
          <w:vertAlign w:val="superscript"/>
        </w:rPr>
        <w:t>th</w:t>
      </w:r>
      <w:r w:rsidR="008607F6">
        <w:t>, 27</w:t>
      </w:r>
      <w:r w:rsidR="008607F6" w:rsidRPr="008607F6">
        <w:rPr>
          <w:vertAlign w:val="superscript"/>
        </w:rPr>
        <w:t>th</w:t>
      </w:r>
      <w:r w:rsidR="008607F6">
        <w:t>, July 4</w:t>
      </w:r>
      <w:r w:rsidR="008607F6" w:rsidRPr="008607F6">
        <w:rPr>
          <w:vertAlign w:val="superscript"/>
        </w:rPr>
        <w:t>th</w:t>
      </w:r>
      <w:r w:rsidR="008607F6">
        <w:t xml:space="preserve"> 2016. The on-line survey can be set up more or less straight away and end Friday 9</w:t>
      </w:r>
      <w:r w:rsidR="008607F6" w:rsidRPr="008607F6">
        <w:rPr>
          <w:vertAlign w:val="superscript"/>
        </w:rPr>
        <w:t>th</w:t>
      </w:r>
      <w:r w:rsidR="008607F6">
        <w:t xml:space="preserve"> July 2016.</w:t>
      </w:r>
      <w:r w:rsidR="00D659E5">
        <w:t xml:space="preserve"> Southampton Solent University can used as a host venue and will provide refreshments/buffet. I suggest an early evening or breakfast meeting lasting up to 2.5 hours.</w:t>
      </w:r>
    </w:p>
    <w:p w:rsidR="005934E4" w:rsidRDefault="005934E4" w:rsidP="005934E4">
      <w:pPr>
        <w:pStyle w:val="Heading2"/>
      </w:pPr>
      <w:r>
        <w:t>Introduction and purpose:</w:t>
      </w:r>
    </w:p>
    <w:p w:rsidR="004E0EE0" w:rsidRPr="00BC1595" w:rsidRDefault="005934E4" w:rsidP="005934E4">
      <w:pPr>
        <w:rPr>
          <w:color w:val="FF0000"/>
        </w:rPr>
      </w:pPr>
      <w:r>
        <w:t>We would like to thank you for taking part in this focus group which</w:t>
      </w:r>
      <w:r w:rsidR="004E0EE0" w:rsidRPr="00AF6037">
        <w:t xml:space="preserve"> aims to identify what employee skills are required in the Hampshire and Isle of Wight area for sustainable growth over </w:t>
      </w:r>
      <w:r w:rsidR="004E0EE0" w:rsidRPr="0004148C">
        <w:t xml:space="preserve">the next </w:t>
      </w:r>
      <w:r w:rsidR="0004148C">
        <w:t>9</w:t>
      </w:r>
      <w:r w:rsidR="004E0EE0" w:rsidRPr="0004148C">
        <w:t xml:space="preserve"> years, i.e. until 20</w:t>
      </w:r>
      <w:r w:rsidRPr="0004148C">
        <w:t>25</w:t>
      </w:r>
      <w:r w:rsidR="004E0EE0" w:rsidRPr="0004148C">
        <w:t>. The context is numbers of people retiring out of the area, specif</w:t>
      </w:r>
      <w:r w:rsidR="004E0EE0" w:rsidRPr="00AF6037">
        <w:t xml:space="preserve">ic sector skills required, generic skills required and the actual skills coming out of colleges and universities. We want to get ‘under the skin’ of available statistics to explore their implications in relation to the demands of employers. </w:t>
      </w:r>
      <w:r w:rsidR="004E0EE0" w:rsidRPr="0004148C">
        <w:t xml:space="preserve">An anticipated outcome will be </w:t>
      </w:r>
      <w:r w:rsidR="0004148C" w:rsidRPr="0004148C">
        <w:t>good, reliable intelligence</w:t>
      </w:r>
      <w:r w:rsidR="00BC1595" w:rsidRPr="0004148C">
        <w:t xml:space="preserve"> for employers, academic institutions and the public authorities regarding what needs to be done now to prepare for the identified changes.</w:t>
      </w:r>
      <w:r w:rsidR="0004148C" w:rsidRPr="0004148C">
        <w:t xml:space="preserve"> </w:t>
      </w:r>
      <w:r w:rsidR="00BC1595" w:rsidRPr="0004148C">
        <w:t>Additionally, it is anticipated that further research may</w:t>
      </w:r>
      <w:r w:rsidR="0004148C" w:rsidRPr="0004148C">
        <w:t xml:space="preserve">be </w:t>
      </w:r>
      <w:r w:rsidR="00BC1595" w:rsidRPr="0004148C">
        <w:t>need to be conducted</w:t>
      </w:r>
      <w:r w:rsidR="0004148C" w:rsidRPr="0004148C">
        <w:t xml:space="preserve"> once the initial data has been evaluated</w:t>
      </w:r>
      <w:r w:rsidR="00BC1595" w:rsidRPr="0004148C">
        <w:t>.</w:t>
      </w:r>
    </w:p>
    <w:p w:rsidR="005934E4" w:rsidRDefault="005934E4" w:rsidP="005934E4">
      <w:pPr>
        <w:pStyle w:val="Heading2"/>
      </w:pPr>
      <w:r>
        <w:t>Informed Consent Form</w:t>
      </w:r>
    </w:p>
    <w:p w:rsidR="005934E4" w:rsidRDefault="005934E4" w:rsidP="005934E4">
      <w:r>
        <w:t>Participants will be asked to sign off on an informed consent form which will have previously been emailed to them.</w:t>
      </w:r>
      <w:r w:rsidR="00F85FD3">
        <w:t xml:space="preserve"> The focus groups will be recorded and/or videoed and we will need permission to do this on the day.</w:t>
      </w:r>
    </w:p>
    <w:p w:rsidR="005934E4" w:rsidRDefault="005934E4" w:rsidP="005934E4">
      <w:pPr>
        <w:pStyle w:val="Heading2"/>
      </w:pPr>
      <w:r>
        <w:t>Introductions</w:t>
      </w:r>
    </w:p>
    <w:p w:rsidR="005934E4" w:rsidRDefault="005934E4" w:rsidP="005934E4">
      <w:r>
        <w:t xml:space="preserve">All participants </w:t>
      </w:r>
      <w:r w:rsidR="00D659E5">
        <w:t xml:space="preserve">to </w:t>
      </w:r>
      <w:r>
        <w:t>give a brief introduction</w:t>
      </w:r>
    </w:p>
    <w:p w:rsidR="005934E4" w:rsidRDefault="00D659E5" w:rsidP="005934E4">
      <w:pPr>
        <w:pStyle w:val="Heading2"/>
      </w:pPr>
      <w:r>
        <w:t xml:space="preserve">Draft </w:t>
      </w:r>
      <w:r w:rsidR="005934E4">
        <w:t>Questions</w:t>
      </w:r>
    </w:p>
    <w:p w:rsidR="00D659E5" w:rsidRPr="00D659E5" w:rsidRDefault="00D659E5" w:rsidP="00D659E5">
      <w:r>
        <w:t>I have merged all the comments and feedback into the new draft questions below;</w:t>
      </w:r>
    </w:p>
    <w:p w:rsidR="005934E4" w:rsidRDefault="005934E4" w:rsidP="005934E4">
      <w:pPr>
        <w:pStyle w:val="ListParagraph"/>
        <w:numPr>
          <w:ilvl w:val="0"/>
          <w:numId w:val="1"/>
        </w:numPr>
      </w:pPr>
      <w:r>
        <w:t>Where do you think the global</w:t>
      </w:r>
      <w:r w:rsidR="00D659E5">
        <w:t>,</w:t>
      </w:r>
      <w:r w:rsidR="00F85FD3">
        <w:t xml:space="preserve"> and then UK</w:t>
      </w:r>
      <w:r>
        <w:t xml:space="preserve"> economic hotspots will be in 2025?</w:t>
      </w:r>
    </w:p>
    <w:p w:rsidR="005934E4" w:rsidRDefault="005934E4" w:rsidP="005934E4">
      <w:pPr>
        <w:pStyle w:val="ListParagraph"/>
        <w:numPr>
          <w:ilvl w:val="0"/>
          <w:numId w:val="1"/>
        </w:numPr>
      </w:pPr>
      <w:r>
        <w:t>Which industry sectors do you see as becoming predominant towards 2025?</w:t>
      </w:r>
    </w:p>
    <w:p w:rsidR="00F85FD3" w:rsidRDefault="00F85FD3" w:rsidP="005934E4">
      <w:pPr>
        <w:pStyle w:val="ListParagraph"/>
        <w:numPr>
          <w:ilvl w:val="0"/>
          <w:numId w:val="1"/>
        </w:numPr>
      </w:pPr>
      <w:r>
        <w:t>What kinds of jobs do you see evolving in the next 10 years – global, UK, Solent?</w:t>
      </w:r>
    </w:p>
    <w:p w:rsidR="00F85FD3" w:rsidRDefault="00F85FD3" w:rsidP="005934E4">
      <w:pPr>
        <w:pStyle w:val="ListParagraph"/>
        <w:numPr>
          <w:ilvl w:val="0"/>
          <w:numId w:val="1"/>
        </w:numPr>
      </w:pPr>
      <w:r>
        <w:t>Are these jobs different or the same from the one’s we can identify with currently?</w:t>
      </w:r>
    </w:p>
    <w:p w:rsidR="00F85FD3" w:rsidRDefault="00F85FD3" w:rsidP="005934E4">
      <w:pPr>
        <w:pStyle w:val="ListParagraph"/>
        <w:numPr>
          <w:ilvl w:val="0"/>
          <w:numId w:val="1"/>
        </w:numPr>
      </w:pPr>
      <w:r>
        <w:t>What disruptors (influences) do you anticipate will affect employment, skills and competencies as you move towards 2025 e.g. technological developments, global collaborations etc.?</w:t>
      </w:r>
    </w:p>
    <w:p w:rsidR="00F85FD3" w:rsidRDefault="00F85FD3" w:rsidP="005934E4">
      <w:pPr>
        <w:pStyle w:val="ListParagraph"/>
        <w:numPr>
          <w:ilvl w:val="0"/>
          <w:numId w:val="1"/>
        </w:numPr>
      </w:pPr>
      <w:r>
        <w:t>For your sector/business what are the skills and competencies you will need to build on towards 2025 e.g. technical, soft/hard skills</w:t>
      </w:r>
      <w:r w:rsidR="008607F6">
        <w:t xml:space="preserve"> [mention CBI skills if necessary]</w:t>
      </w:r>
      <w:r>
        <w:t>?</w:t>
      </w:r>
    </w:p>
    <w:p w:rsidR="00F85FD3" w:rsidRDefault="00F85FD3" w:rsidP="005934E4">
      <w:pPr>
        <w:pStyle w:val="ListParagraph"/>
        <w:numPr>
          <w:ilvl w:val="0"/>
          <w:numId w:val="1"/>
        </w:numPr>
      </w:pPr>
      <w:r>
        <w:t>What skills and competencies do you consider will be largely redundant in 2025?</w:t>
      </w:r>
    </w:p>
    <w:p w:rsidR="00F85FD3" w:rsidRDefault="00F85FD3" w:rsidP="005934E4">
      <w:pPr>
        <w:pStyle w:val="ListParagraph"/>
        <w:numPr>
          <w:ilvl w:val="0"/>
          <w:numId w:val="1"/>
        </w:numPr>
      </w:pPr>
      <w:r>
        <w:t>What will be your priority between soft and technical skills?</w:t>
      </w:r>
    </w:p>
    <w:p w:rsidR="00F85FD3" w:rsidRDefault="00F85FD3" w:rsidP="005934E4">
      <w:pPr>
        <w:pStyle w:val="ListParagraph"/>
        <w:numPr>
          <w:ilvl w:val="0"/>
          <w:numId w:val="1"/>
        </w:numPr>
      </w:pPr>
      <w:r>
        <w:t>How will employers need to change their behaviours to adapt to the new 2025 landscape?</w:t>
      </w:r>
    </w:p>
    <w:p w:rsidR="00F85FD3" w:rsidRDefault="00F85FD3" w:rsidP="005934E4">
      <w:pPr>
        <w:pStyle w:val="ListParagraph"/>
        <w:numPr>
          <w:ilvl w:val="0"/>
          <w:numId w:val="1"/>
        </w:numPr>
      </w:pPr>
      <w:r>
        <w:t>How will schools, colleges and HE institutions need to adapt.</w:t>
      </w:r>
    </w:p>
    <w:p w:rsidR="00F85FD3" w:rsidRDefault="00F85FD3" w:rsidP="005934E4">
      <w:pPr>
        <w:pStyle w:val="ListParagraph"/>
        <w:numPr>
          <w:ilvl w:val="0"/>
          <w:numId w:val="1"/>
        </w:numPr>
      </w:pPr>
      <w:r>
        <w:t>What will public authorities need to do differently?</w:t>
      </w:r>
    </w:p>
    <w:p w:rsidR="00AA1409" w:rsidRDefault="00AA1409" w:rsidP="008607F6">
      <w:pPr>
        <w:pStyle w:val="Heading2"/>
      </w:pPr>
    </w:p>
    <w:p w:rsidR="008607F6" w:rsidRDefault="008607F6" w:rsidP="008607F6">
      <w:pPr>
        <w:pStyle w:val="Heading2"/>
      </w:pPr>
      <w:r>
        <w:t>Round up</w:t>
      </w:r>
    </w:p>
    <w:p w:rsidR="008607F6" w:rsidRPr="008607F6" w:rsidRDefault="008607F6" w:rsidP="008607F6">
      <w:r>
        <w:t>Next steps and thank audience for their participation.</w:t>
      </w:r>
    </w:p>
    <w:p w:rsidR="008607F6" w:rsidRDefault="008607F6" w:rsidP="008607F6"/>
    <w:p w:rsidR="008607F6" w:rsidRDefault="008607F6" w:rsidP="005F155C">
      <w:pPr>
        <w:shd w:val="clear" w:color="auto" w:fill="FFFFFF"/>
        <w:spacing w:line="240" w:lineRule="auto"/>
        <w:rPr>
          <w:rFonts w:eastAsia="Times New Roman" w:cs="Segoe UI"/>
          <w:b/>
          <w:bCs/>
          <w:color w:val="212121"/>
          <w:sz w:val="24"/>
          <w:szCs w:val="24"/>
          <w:lang w:eastAsia="en-GB"/>
        </w:rPr>
      </w:pPr>
      <w:r>
        <w:rPr>
          <w:rFonts w:eastAsia="Times New Roman" w:cs="Segoe UI"/>
          <w:b/>
          <w:bCs/>
          <w:color w:val="212121"/>
          <w:sz w:val="24"/>
          <w:szCs w:val="24"/>
          <w:lang w:eastAsia="en-GB"/>
        </w:rPr>
        <w:t>Notes:</w:t>
      </w:r>
    </w:p>
    <w:p w:rsidR="008E491C" w:rsidRDefault="005F155C" w:rsidP="005F155C">
      <w:pPr>
        <w:shd w:val="clear" w:color="auto" w:fill="FFFFFF"/>
        <w:spacing w:line="240" w:lineRule="auto"/>
        <w:rPr>
          <w:rFonts w:eastAsia="Times New Roman" w:cs="Segoe UI"/>
          <w:color w:val="212121"/>
          <w:sz w:val="24"/>
          <w:szCs w:val="24"/>
          <w:lang w:eastAsia="en-GB"/>
        </w:rPr>
      </w:pPr>
      <w:r w:rsidRPr="005F155C">
        <w:rPr>
          <w:rFonts w:eastAsia="Times New Roman" w:cs="Segoe UI"/>
          <w:b/>
          <w:bCs/>
          <w:color w:val="212121"/>
          <w:sz w:val="24"/>
          <w:szCs w:val="24"/>
          <w:lang w:eastAsia="en-GB"/>
        </w:rPr>
        <w:t>Qualitative method:</w:t>
      </w:r>
      <w:r w:rsidRPr="005F155C">
        <w:rPr>
          <w:rFonts w:eastAsia="Times New Roman" w:cs="Segoe UI"/>
          <w:color w:val="212121"/>
          <w:sz w:val="24"/>
          <w:szCs w:val="24"/>
          <w:lang w:eastAsia="en-GB"/>
        </w:rPr>
        <w:t xml:space="preserve">      Interviews and focus groups. </w:t>
      </w:r>
    </w:p>
    <w:p w:rsidR="008E491C" w:rsidRDefault="005F155C" w:rsidP="005F155C">
      <w:pPr>
        <w:shd w:val="clear" w:color="auto" w:fill="FFFFFF"/>
        <w:spacing w:line="240" w:lineRule="auto"/>
        <w:rPr>
          <w:rFonts w:eastAsia="Times New Roman" w:cs="Segoe UI"/>
          <w:color w:val="212121"/>
          <w:sz w:val="24"/>
          <w:szCs w:val="24"/>
          <w:lang w:eastAsia="en-GB"/>
        </w:rPr>
      </w:pPr>
      <w:r w:rsidRPr="005F155C">
        <w:rPr>
          <w:rFonts w:eastAsia="Times New Roman" w:cs="Segoe UI"/>
          <w:color w:val="212121"/>
          <w:sz w:val="24"/>
          <w:szCs w:val="24"/>
          <w:lang w:eastAsia="en-GB"/>
        </w:rPr>
        <w:t>Sample groups</w:t>
      </w:r>
      <w:r w:rsidR="008E491C">
        <w:rPr>
          <w:rFonts w:eastAsia="Times New Roman" w:cs="Segoe UI"/>
          <w:color w:val="212121"/>
          <w:sz w:val="24"/>
          <w:szCs w:val="24"/>
          <w:lang w:eastAsia="en-GB"/>
        </w:rPr>
        <w:t>: 5 from each category.</w:t>
      </w:r>
    </w:p>
    <w:p w:rsidR="005F155C" w:rsidRPr="00AF6037" w:rsidRDefault="005F155C" w:rsidP="005F155C">
      <w:pPr>
        <w:shd w:val="clear" w:color="auto" w:fill="FFFFFF"/>
        <w:spacing w:line="240" w:lineRule="auto"/>
        <w:rPr>
          <w:rFonts w:eastAsia="Times New Roman" w:cs="Segoe UI"/>
          <w:color w:val="212121"/>
          <w:sz w:val="24"/>
          <w:szCs w:val="24"/>
          <w:lang w:eastAsia="en-GB"/>
        </w:rPr>
      </w:pPr>
      <w:r w:rsidRPr="005F155C">
        <w:rPr>
          <w:rFonts w:eastAsia="Times New Roman" w:cs="Segoe UI"/>
          <w:color w:val="212121"/>
          <w:sz w:val="24"/>
          <w:szCs w:val="24"/>
          <w:lang w:eastAsia="en-GB"/>
        </w:rPr>
        <w:t>It is imperative that we can evaluate the</w:t>
      </w:r>
      <w:r w:rsidRPr="00AF6037">
        <w:rPr>
          <w:rFonts w:eastAsia="Times New Roman" w:cs="Segoe UI"/>
          <w:color w:val="212121"/>
          <w:sz w:val="24"/>
          <w:szCs w:val="24"/>
          <w:lang w:eastAsia="en-GB"/>
        </w:rPr>
        <w:t xml:space="preserve"> needs of each size of business</w:t>
      </w:r>
      <w:r w:rsidRPr="005F155C">
        <w:rPr>
          <w:rFonts w:eastAsia="Times New Roman" w:cs="Segoe UI"/>
          <w:color w:val="212121"/>
          <w:sz w:val="24"/>
          <w:szCs w:val="24"/>
          <w:lang w:eastAsia="en-GB"/>
        </w:rPr>
        <w:t>.</w:t>
      </w:r>
    </w:p>
    <w:p w:rsidR="004E0EE0" w:rsidRPr="00AF6037" w:rsidRDefault="004E0EE0" w:rsidP="005F155C">
      <w:pPr>
        <w:shd w:val="clear" w:color="auto" w:fill="FFFFFF"/>
        <w:spacing w:line="240" w:lineRule="auto"/>
        <w:rPr>
          <w:rFonts w:eastAsia="Times New Roman" w:cs="Segoe UI"/>
          <w:color w:val="212121"/>
          <w:sz w:val="24"/>
          <w:szCs w:val="24"/>
          <w:lang w:eastAsia="en-GB"/>
        </w:rPr>
      </w:pPr>
      <w:r w:rsidRPr="00AF6037">
        <w:rPr>
          <w:rFonts w:eastAsia="Times New Roman" w:cs="Segoe UI"/>
          <w:color w:val="212121"/>
          <w:sz w:val="24"/>
          <w:szCs w:val="24"/>
          <w:lang w:eastAsia="en-GB"/>
        </w:rPr>
        <w:t>Large firms – (250+) – Turnover exceeds EUR 50 million.</w:t>
      </w:r>
    </w:p>
    <w:p w:rsidR="005F155C" w:rsidRPr="00AF6037" w:rsidRDefault="005F155C" w:rsidP="005F155C">
      <w:pPr>
        <w:shd w:val="clear" w:color="auto" w:fill="FFFFFF"/>
        <w:spacing w:line="240" w:lineRule="auto"/>
        <w:rPr>
          <w:rFonts w:eastAsia="Times New Roman" w:cs="Segoe UI"/>
          <w:color w:val="212121"/>
          <w:sz w:val="24"/>
          <w:szCs w:val="24"/>
          <w:lang w:eastAsia="en-GB"/>
        </w:rPr>
      </w:pPr>
      <w:r w:rsidRPr="00AF6037">
        <w:rPr>
          <w:rFonts w:eastAsia="Times New Roman" w:cs="Segoe UI"/>
          <w:color w:val="212121"/>
          <w:sz w:val="24"/>
          <w:szCs w:val="24"/>
          <w:lang w:eastAsia="en-GB"/>
        </w:rPr>
        <w:t>Medium firms – (50-249 employees) – Turnover should not exceed EUR 50 million</w:t>
      </w:r>
    </w:p>
    <w:p w:rsidR="005F155C" w:rsidRPr="00AF6037" w:rsidRDefault="005F155C" w:rsidP="005F155C">
      <w:pPr>
        <w:shd w:val="clear" w:color="auto" w:fill="FFFFFF"/>
        <w:spacing w:line="240" w:lineRule="auto"/>
        <w:rPr>
          <w:rFonts w:eastAsia="Times New Roman" w:cs="Segoe UI"/>
          <w:color w:val="212121"/>
          <w:sz w:val="24"/>
          <w:szCs w:val="24"/>
          <w:lang w:eastAsia="en-GB"/>
        </w:rPr>
      </w:pPr>
      <w:r w:rsidRPr="00AF6037">
        <w:rPr>
          <w:rFonts w:eastAsia="Times New Roman" w:cs="Segoe UI"/>
          <w:color w:val="212121"/>
          <w:sz w:val="24"/>
          <w:szCs w:val="24"/>
          <w:lang w:eastAsia="en-GB"/>
        </w:rPr>
        <w:t>Small firms – (10-49) employees – Turnover should not exceed EUR 10 million.</w:t>
      </w:r>
    </w:p>
    <w:p w:rsidR="005F155C" w:rsidRPr="00AF6037" w:rsidRDefault="005F155C" w:rsidP="005F155C">
      <w:pPr>
        <w:shd w:val="clear" w:color="auto" w:fill="FFFFFF"/>
        <w:spacing w:line="240" w:lineRule="auto"/>
        <w:rPr>
          <w:rFonts w:eastAsia="Times New Roman" w:cs="Segoe UI"/>
          <w:color w:val="212121"/>
          <w:sz w:val="24"/>
          <w:szCs w:val="24"/>
          <w:lang w:eastAsia="en-GB"/>
        </w:rPr>
      </w:pPr>
      <w:r w:rsidRPr="00AF6037">
        <w:rPr>
          <w:rFonts w:eastAsia="Times New Roman" w:cs="Segoe UI"/>
          <w:color w:val="212121"/>
          <w:sz w:val="24"/>
          <w:szCs w:val="24"/>
          <w:lang w:eastAsia="en-GB"/>
        </w:rPr>
        <w:t>Micro-enterprises – (1-10 employees) – Turnover should not exceed EUR 2 million.</w:t>
      </w:r>
    </w:p>
    <w:p w:rsidR="005F155C" w:rsidRPr="00BC1595" w:rsidRDefault="005F155C" w:rsidP="005F155C">
      <w:pPr>
        <w:shd w:val="clear" w:color="auto" w:fill="FFFFFF"/>
        <w:spacing w:line="240" w:lineRule="auto"/>
        <w:rPr>
          <w:rFonts w:eastAsia="Times New Roman" w:cs="Segoe UI"/>
          <w:color w:val="212121"/>
          <w:sz w:val="24"/>
          <w:szCs w:val="24"/>
          <w:lang w:val="fr-FR" w:eastAsia="en-GB"/>
        </w:rPr>
      </w:pPr>
      <w:r w:rsidRPr="00BC1595">
        <w:rPr>
          <w:rFonts w:eastAsia="Times New Roman" w:cs="Segoe UI"/>
          <w:color w:val="212121"/>
          <w:sz w:val="24"/>
          <w:szCs w:val="24"/>
          <w:lang w:val="fr-FR" w:eastAsia="en-GB"/>
        </w:rPr>
        <w:t xml:space="preserve">Source: </w:t>
      </w:r>
      <w:hyperlink r:id="rId7" w:history="1">
        <w:r w:rsidR="008E491C" w:rsidRPr="00BC1595">
          <w:rPr>
            <w:rStyle w:val="Hyperlink"/>
            <w:rFonts w:eastAsia="Times New Roman" w:cs="Segoe UI"/>
            <w:sz w:val="24"/>
            <w:szCs w:val="24"/>
            <w:lang w:val="fr-FR" w:eastAsia="en-GB"/>
          </w:rPr>
          <w:t>https://stats.oecd.org/glossary/detail.asp?ID=3123</w:t>
        </w:r>
      </w:hyperlink>
    </w:p>
    <w:p w:rsidR="008E491C" w:rsidRPr="00BC1595" w:rsidRDefault="008E491C" w:rsidP="005F155C">
      <w:pPr>
        <w:shd w:val="clear" w:color="auto" w:fill="FFFFFF"/>
        <w:spacing w:line="240" w:lineRule="auto"/>
        <w:rPr>
          <w:rFonts w:eastAsia="Times New Roman" w:cs="Segoe UI"/>
          <w:color w:val="212121"/>
          <w:sz w:val="24"/>
          <w:szCs w:val="24"/>
          <w:lang w:val="fr-FR" w:eastAsia="en-GB"/>
        </w:rPr>
      </w:pPr>
    </w:p>
    <w:p w:rsidR="005F155C" w:rsidRPr="005F155C" w:rsidRDefault="005F155C" w:rsidP="005F155C">
      <w:pPr>
        <w:shd w:val="clear" w:color="auto" w:fill="FFFFFF"/>
        <w:spacing w:line="240" w:lineRule="auto"/>
        <w:rPr>
          <w:rFonts w:eastAsia="Times New Roman" w:cs="Segoe UI"/>
          <w:color w:val="212121"/>
          <w:sz w:val="24"/>
          <w:szCs w:val="24"/>
          <w:lang w:eastAsia="en-GB"/>
        </w:rPr>
      </w:pPr>
      <w:r w:rsidRPr="005F155C">
        <w:rPr>
          <w:rFonts w:eastAsia="Times New Roman" w:cs="Segoe UI"/>
          <w:b/>
          <w:bCs/>
          <w:color w:val="212121"/>
          <w:sz w:val="24"/>
          <w:szCs w:val="24"/>
          <w:lang w:eastAsia="en-GB"/>
        </w:rPr>
        <w:t>Quantitative</w:t>
      </w:r>
    </w:p>
    <w:p w:rsidR="005F155C" w:rsidRPr="00AF6037" w:rsidRDefault="005F155C" w:rsidP="005F155C">
      <w:pPr>
        <w:shd w:val="clear" w:color="auto" w:fill="FFFFFF"/>
        <w:spacing w:line="240" w:lineRule="auto"/>
        <w:rPr>
          <w:rFonts w:eastAsia="Times New Roman" w:cs="Segoe UI"/>
          <w:color w:val="212121"/>
          <w:sz w:val="24"/>
          <w:szCs w:val="24"/>
          <w:lang w:eastAsia="en-GB"/>
        </w:rPr>
      </w:pPr>
      <w:r w:rsidRPr="005F155C">
        <w:rPr>
          <w:rFonts w:eastAsia="Times New Roman" w:cs="Segoe UI"/>
          <w:color w:val="212121"/>
          <w:sz w:val="24"/>
          <w:szCs w:val="24"/>
          <w:lang w:eastAsia="en-GB"/>
        </w:rPr>
        <w:t>For g</w:t>
      </w:r>
      <w:r w:rsidRPr="00AF6037">
        <w:rPr>
          <w:rFonts w:eastAsia="Times New Roman" w:cs="Segoe UI"/>
          <w:color w:val="212121"/>
          <w:sz w:val="24"/>
          <w:szCs w:val="24"/>
          <w:lang w:eastAsia="en-GB"/>
        </w:rPr>
        <w:t>reat results we should aim for </w:t>
      </w:r>
      <w:r w:rsidRPr="005F155C">
        <w:rPr>
          <w:rFonts w:eastAsia="Times New Roman" w:cs="Segoe UI"/>
          <w:color w:val="212121"/>
          <w:sz w:val="24"/>
          <w:szCs w:val="24"/>
          <w:lang w:eastAsia="en-GB"/>
        </w:rPr>
        <w:t>300 – 500 which is quite a lot, hence the need to run the survey for 8 weeks.  Reason for using Survey Monkey is that it is user friendly and our stakeholders are likely to complete it much more. </w:t>
      </w:r>
    </w:p>
    <w:p w:rsidR="00AF6037" w:rsidRPr="00AF6037" w:rsidRDefault="00AF6037" w:rsidP="005F155C">
      <w:pPr>
        <w:shd w:val="clear" w:color="auto" w:fill="FFFFFF"/>
        <w:spacing w:line="240" w:lineRule="auto"/>
        <w:rPr>
          <w:rFonts w:eastAsia="Times New Roman" w:cs="Segoe UI"/>
          <w:color w:val="212121"/>
          <w:sz w:val="24"/>
          <w:szCs w:val="24"/>
          <w:lang w:eastAsia="en-GB"/>
        </w:rPr>
      </w:pPr>
    </w:p>
    <w:p w:rsidR="008E491C" w:rsidRPr="001920AB" w:rsidRDefault="008E491C" w:rsidP="008E491C">
      <w:pPr>
        <w:pStyle w:val="NormalWeb"/>
        <w:spacing w:line="360" w:lineRule="auto"/>
        <w:jc w:val="both"/>
        <w:rPr>
          <w:rFonts w:ascii="Calibri" w:hAnsi="Calibri" w:cs="Calibri"/>
        </w:rPr>
      </w:pPr>
      <w:bookmarkStart w:id="1" w:name="OLE_LINK1"/>
      <w:bookmarkStart w:id="2" w:name="OLE_LINK2"/>
      <w:r w:rsidRPr="00BD3162">
        <w:rPr>
          <w:rFonts w:ascii="Calibri" w:hAnsi="Calibri" w:cs="Calibri"/>
        </w:rPr>
        <w:t xml:space="preserve">The CBI </w:t>
      </w:r>
      <w:r w:rsidRPr="00BD3162">
        <w:rPr>
          <w:rStyle w:val="Strong"/>
          <w:rFonts w:ascii="Calibri" w:hAnsi="Calibri" w:cs="Calibri"/>
        </w:rPr>
        <w:t>(</w:t>
      </w:r>
      <w:r w:rsidRPr="001920AB">
        <w:rPr>
          <w:rStyle w:val="Strong"/>
          <w:rFonts w:ascii="Calibri" w:hAnsi="Calibri" w:cs="Calibri"/>
        </w:rPr>
        <w:t xml:space="preserve">2010, What are Employability Skills?) </w:t>
      </w:r>
      <w:r w:rsidRPr="001920AB">
        <w:rPr>
          <w:rFonts w:ascii="Calibri" w:hAnsi="Calibri" w:cs="Calibri"/>
        </w:rPr>
        <w:t xml:space="preserve">has continued to identify the ‘Employability’ Skills as: </w:t>
      </w:r>
    </w:p>
    <w:tbl>
      <w:tblPr>
        <w:tblW w:w="0" w:type="auto"/>
        <w:tblBorders>
          <w:top w:val="single" w:sz="8" w:space="0" w:color="009DD9"/>
          <w:bottom w:val="single" w:sz="8" w:space="0" w:color="009DD9"/>
        </w:tblBorders>
        <w:tblLook w:val="04A0" w:firstRow="1" w:lastRow="0" w:firstColumn="1" w:lastColumn="0" w:noHBand="0" w:noVBand="1"/>
      </w:tblPr>
      <w:tblGrid>
        <w:gridCol w:w="2472"/>
        <w:gridCol w:w="6770"/>
      </w:tblGrid>
      <w:tr w:rsidR="008E491C" w:rsidRPr="001920AB" w:rsidTr="005306AD">
        <w:tc>
          <w:tcPr>
            <w:tcW w:w="2518" w:type="dxa"/>
            <w:tcBorders>
              <w:top w:val="single" w:sz="8" w:space="0" w:color="009DD9"/>
              <w:left w:val="nil"/>
              <w:bottom w:val="single" w:sz="8" w:space="0" w:color="009DD9"/>
              <w:right w:val="nil"/>
            </w:tcBorders>
            <w:shd w:val="clear" w:color="auto" w:fill="FFFFFF"/>
          </w:tcPr>
          <w:p w:rsidR="008E491C" w:rsidRPr="001920AB" w:rsidRDefault="008E491C" w:rsidP="005306AD">
            <w:pPr>
              <w:pStyle w:val="NormalWeb"/>
              <w:spacing w:line="360" w:lineRule="auto"/>
              <w:rPr>
                <w:rFonts w:ascii="Calibri" w:hAnsi="Calibri" w:cs="Calibri"/>
                <w:b/>
                <w:bCs/>
              </w:rPr>
            </w:pPr>
            <w:r w:rsidRPr="001920AB">
              <w:rPr>
                <w:rFonts w:ascii="Calibri" w:hAnsi="Calibri" w:cs="Calibri"/>
                <w:b/>
                <w:bCs/>
              </w:rPr>
              <w:t>Self-management</w:t>
            </w:r>
          </w:p>
        </w:tc>
        <w:tc>
          <w:tcPr>
            <w:tcW w:w="7058" w:type="dxa"/>
            <w:tcBorders>
              <w:top w:val="single" w:sz="8" w:space="0" w:color="009DD9"/>
              <w:left w:val="nil"/>
              <w:bottom w:val="single" w:sz="8" w:space="0" w:color="009DD9"/>
              <w:right w:val="nil"/>
            </w:tcBorders>
            <w:shd w:val="clear" w:color="auto" w:fill="FFFFFF"/>
          </w:tcPr>
          <w:p w:rsidR="008E491C" w:rsidRPr="001920AB" w:rsidRDefault="008E491C" w:rsidP="005306AD">
            <w:pPr>
              <w:pStyle w:val="NormalWeb"/>
              <w:spacing w:line="360" w:lineRule="auto"/>
              <w:jc w:val="both"/>
              <w:rPr>
                <w:rFonts w:ascii="Calibri" w:hAnsi="Calibri" w:cs="Calibri"/>
                <w:bCs/>
              </w:rPr>
            </w:pPr>
            <w:r w:rsidRPr="001920AB">
              <w:rPr>
                <w:rFonts w:ascii="Calibri" w:hAnsi="Calibri" w:cs="Calibri"/>
                <w:bCs/>
              </w:rPr>
              <w:t>Readiness to accept responsibility, flexibility, resilience, self-starting, appropriate assertiveness, time management, readiness to improve own performance based on feedback/reflective learning.</w:t>
            </w:r>
          </w:p>
        </w:tc>
      </w:tr>
      <w:tr w:rsidR="008E491C" w:rsidRPr="001920AB" w:rsidTr="005306AD">
        <w:trPr>
          <w:trHeight w:val="767"/>
        </w:trPr>
        <w:tc>
          <w:tcPr>
            <w:tcW w:w="2518" w:type="dxa"/>
            <w:tcBorders>
              <w:left w:val="nil"/>
              <w:bottom w:val="single" w:sz="4" w:space="0" w:color="0F6FC6"/>
              <w:right w:val="nil"/>
            </w:tcBorders>
            <w:shd w:val="clear" w:color="auto" w:fill="FFFFFF"/>
          </w:tcPr>
          <w:p w:rsidR="008E491C" w:rsidRPr="001920AB" w:rsidRDefault="008E491C" w:rsidP="005306AD">
            <w:pPr>
              <w:pStyle w:val="NormalWeb"/>
              <w:spacing w:line="360" w:lineRule="auto"/>
              <w:rPr>
                <w:rFonts w:ascii="Calibri" w:hAnsi="Calibri" w:cs="Calibri"/>
                <w:b/>
                <w:bCs/>
              </w:rPr>
            </w:pPr>
            <w:r w:rsidRPr="001920AB">
              <w:rPr>
                <w:rFonts w:ascii="Calibri" w:hAnsi="Calibri" w:cs="Calibri"/>
                <w:b/>
                <w:bCs/>
              </w:rPr>
              <w:t>Team-working</w:t>
            </w:r>
          </w:p>
        </w:tc>
        <w:tc>
          <w:tcPr>
            <w:tcW w:w="7058" w:type="dxa"/>
            <w:tcBorders>
              <w:left w:val="nil"/>
              <w:bottom w:val="single" w:sz="4" w:space="0" w:color="0F6FC6"/>
              <w:right w:val="nil"/>
            </w:tcBorders>
            <w:shd w:val="clear" w:color="auto" w:fill="FFFFFF"/>
          </w:tcPr>
          <w:p w:rsidR="008E491C" w:rsidRPr="001920AB" w:rsidRDefault="008E491C" w:rsidP="005306AD">
            <w:pPr>
              <w:pStyle w:val="NormalWeb"/>
              <w:spacing w:line="360" w:lineRule="auto"/>
              <w:jc w:val="both"/>
              <w:rPr>
                <w:rFonts w:ascii="Calibri" w:hAnsi="Calibri" w:cs="Calibri"/>
              </w:rPr>
            </w:pPr>
            <w:r w:rsidRPr="001920AB">
              <w:rPr>
                <w:rFonts w:ascii="Calibri" w:hAnsi="Calibri" w:cs="Calibri"/>
              </w:rPr>
              <w:t>Respecting others, co-operating, negotiating/persuading, contributing to discussions, and awareness of interdependence with others.</w:t>
            </w:r>
          </w:p>
        </w:tc>
      </w:tr>
      <w:tr w:rsidR="008E491C" w:rsidRPr="001920AB" w:rsidTr="005306AD">
        <w:trPr>
          <w:trHeight w:val="131"/>
        </w:trPr>
        <w:tc>
          <w:tcPr>
            <w:tcW w:w="2518" w:type="dxa"/>
            <w:tcBorders>
              <w:top w:val="single" w:sz="4" w:space="0" w:color="0F6FC6"/>
            </w:tcBorders>
            <w:shd w:val="clear" w:color="auto" w:fill="FFFFFF"/>
          </w:tcPr>
          <w:p w:rsidR="008E491C" w:rsidRPr="001920AB" w:rsidRDefault="008E491C" w:rsidP="005306AD">
            <w:pPr>
              <w:pStyle w:val="NormalWeb"/>
              <w:spacing w:line="360" w:lineRule="auto"/>
              <w:rPr>
                <w:rFonts w:ascii="Calibri" w:hAnsi="Calibri" w:cs="Calibri"/>
                <w:b/>
                <w:bCs/>
              </w:rPr>
            </w:pPr>
          </w:p>
        </w:tc>
        <w:tc>
          <w:tcPr>
            <w:tcW w:w="7058" w:type="dxa"/>
            <w:tcBorders>
              <w:top w:val="single" w:sz="4" w:space="0" w:color="0F6FC6"/>
            </w:tcBorders>
            <w:shd w:val="clear" w:color="auto" w:fill="FFFFFF"/>
          </w:tcPr>
          <w:p w:rsidR="008E491C" w:rsidRPr="001920AB" w:rsidRDefault="008E491C" w:rsidP="005306AD">
            <w:pPr>
              <w:pStyle w:val="NormalWeb"/>
              <w:spacing w:line="360" w:lineRule="auto"/>
              <w:jc w:val="both"/>
              <w:rPr>
                <w:rFonts w:ascii="Calibri" w:hAnsi="Calibri" w:cs="Calibri"/>
              </w:rPr>
            </w:pPr>
          </w:p>
        </w:tc>
      </w:tr>
      <w:tr w:rsidR="008E491C" w:rsidRPr="001920AB" w:rsidTr="005306AD">
        <w:trPr>
          <w:trHeight w:val="1122"/>
        </w:trPr>
        <w:tc>
          <w:tcPr>
            <w:tcW w:w="2518" w:type="dxa"/>
            <w:tcBorders>
              <w:left w:val="nil"/>
              <w:bottom w:val="single" w:sz="4" w:space="0" w:color="0F6FC6"/>
              <w:right w:val="nil"/>
            </w:tcBorders>
            <w:shd w:val="clear" w:color="auto" w:fill="FFFFFF"/>
          </w:tcPr>
          <w:p w:rsidR="008E491C" w:rsidRPr="008E491C" w:rsidRDefault="008E491C" w:rsidP="005306AD">
            <w:pPr>
              <w:spacing w:line="240" w:lineRule="auto"/>
              <w:rPr>
                <w:rFonts w:cs="Calibri"/>
                <w:bCs/>
                <w:sz w:val="24"/>
                <w:szCs w:val="24"/>
              </w:rPr>
            </w:pPr>
            <w:r w:rsidRPr="008E491C">
              <w:rPr>
                <w:rStyle w:val="Strong"/>
                <w:rFonts w:asciiTheme="minorHAnsi" w:hAnsiTheme="minorHAnsi" w:cs="Calibri"/>
                <w:bCs/>
                <w:color w:val="auto"/>
                <w:sz w:val="24"/>
                <w:szCs w:val="24"/>
              </w:rPr>
              <w:lastRenderedPageBreak/>
              <w:t>Business and customer awareness</w:t>
            </w:r>
          </w:p>
        </w:tc>
        <w:tc>
          <w:tcPr>
            <w:tcW w:w="7058" w:type="dxa"/>
            <w:tcBorders>
              <w:left w:val="nil"/>
              <w:bottom w:val="single" w:sz="4" w:space="0" w:color="0F6FC6"/>
              <w:right w:val="nil"/>
            </w:tcBorders>
            <w:shd w:val="clear" w:color="auto" w:fill="FFFFFF"/>
          </w:tcPr>
          <w:p w:rsidR="008E491C" w:rsidRPr="001920AB" w:rsidRDefault="008E491C" w:rsidP="005306AD">
            <w:pPr>
              <w:pStyle w:val="NormalWeb"/>
              <w:spacing w:line="360" w:lineRule="auto"/>
              <w:jc w:val="both"/>
              <w:rPr>
                <w:rFonts w:ascii="Calibri" w:hAnsi="Calibri" w:cs="Calibri"/>
              </w:rPr>
            </w:pPr>
            <w:r w:rsidRPr="001920AB">
              <w:rPr>
                <w:rFonts w:ascii="Calibri" w:hAnsi="Calibri" w:cs="Calibri"/>
              </w:rPr>
              <w:t>Basic understanding of the key drivers for business success – including the importance of innovation and taking calculated risks – and the need to provide customer satisfaction and build customer loyalty.</w:t>
            </w:r>
          </w:p>
        </w:tc>
      </w:tr>
      <w:tr w:rsidR="008E491C" w:rsidRPr="001920AB" w:rsidTr="005306AD">
        <w:trPr>
          <w:trHeight w:val="187"/>
        </w:trPr>
        <w:tc>
          <w:tcPr>
            <w:tcW w:w="2518" w:type="dxa"/>
            <w:tcBorders>
              <w:top w:val="single" w:sz="4" w:space="0" w:color="0F6FC6"/>
            </w:tcBorders>
            <w:shd w:val="clear" w:color="auto" w:fill="FFFFFF"/>
          </w:tcPr>
          <w:p w:rsidR="008E491C" w:rsidRPr="001920AB" w:rsidRDefault="008E491C" w:rsidP="005306AD">
            <w:pPr>
              <w:spacing w:line="240" w:lineRule="auto"/>
              <w:rPr>
                <w:rStyle w:val="Strong"/>
                <w:rFonts w:cs="Calibri"/>
                <w:b w:val="0"/>
                <w:bCs/>
                <w:sz w:val="24"/>
                <w:szCs w:val="24"/>
              </w:rPr>
            </w:pPr>
          </w:p>
        </w:tc>
        <w:tc>
          <w:tcPr>
            <w:tcW w:w="7058" w:type="dxa"/>
            <w:tcBorders>
              <w:top w:val="single" w:sz="4" w:space="0" w:color="0F6FC6"/>
            </w:tcBorders>
            <w:shd w:val="clear" w:color="auto" w:fill="FFFFFF"/>
          </w:tcPr>
          <w:p w:rsidR="008E491C" w:rsidRPr="001920AB" w:rsidRDefault="008E491C" w:rsidP="005306AD">
            <w:pPr>
              <w:pStyle w:val="NormalWeb"/>
              <w:spacing w:line="360" w:lineRule="auto"/>
              <w:jc w:val="both"/>
              <w:rPr>
                <w:rFonts w:ascii="Calibri" w:hAnsi="Calibri" w:cs="Calibri"/>
              </w:rPr>
            </w:pPr>
          </w:p>
        </w:tc>
      </w:tr>
      <w:tr w:rsidR="008E491C" w:rsidRPr="001920AB" w:rsidTr="005306AD">
        <w:trPr>
          <w:trHeight w:val="767"/>
        </w:trPr>
        <w:tc>
          <w:tcPr>
            <w:tcW w:w="2518" w:type="dxa"/>
            <w:tcBorders>
              <w:left w:val="nil"/>
              <w:bottom w:val="single" w:sz="4" w:space="0" w:color="0F6FC6"/>
              <w:right w:val="nil"/>
            </w:tcBorders>
            <w:shd w:val="clear" w:color="auto" w:fill="FFFFFF"/>
          </w:tcPr>
          <w:p w:rsidR="008E491C" w:rsidRPr="001920AB" w:rsidRDefault="008E491C" w:rsidP="005306AD">
            <w:pPr>
              <w:pStyle w:val="NormalWeb"/>
              <w:spacing w:line="360" w:lineRule="auto"/>
              <w:rPr>
                <w:rFonts w:ascii="Calibri" w:hAnsi="Calibri" w:cs="Calibri"/>
                <w:b/>
                <w:bCs/>
              </w:rPr>
            </w:pPr>
            <w:r w:rsidRPr="001920AB">
              <w:rPr>
                <w:rFonts w:ascii="Calibri" w:hAnsi="Calibri" w:cs="Calibri"/>
                <w:b/>
                <w:bCs/>
              </w:rPr>
              <w:t>Problem-solving</w:t>
            </w:r>
          </w:p>
        </w:tc>
        <w:tc>
          <w:tcPr>
            <w:tcW w:w="7058" w:type="dxa"/>
            <w:tcBorders>
              <w:left w:val="nil"/>
              <w:bottom w:val="single" w:sz="4" w:space="0" w:color="0F6FC6"/>
              <w:right w:val="nil"/>
            </w:tcBorders>
            <w:shd w:val="clear" w:color="auto" w:fill="FFFFFF"/>
          </w:tcPr>
          <w:p w:rsidR="008E491C" w:rsidRPr="001920AB" w:rsidRDefault="008E491C" w:rsidP="005306AD">
            <w:pPr>
              <w:pStyle w:val="NormalWeb"/>
              <w:spacing w:line="360" w:lineRule="auto"/>
              <w:jc w:val="both"/>
              <w:rPr>
                <w:rFonts w:ascii="Calibri" w:hAnsi="Calibri" w:cs="Calibri"/>
              </w:rPr>
            </w:pPr>
            <w:r w:rsidRPr="001920AB">
              <w:rPr>
                <w:rFonts w:ascii="Calibri" w:hAnsi="Calibri" w:cs="Calibri"/>
              </w:rPr>
              <w:t>Analysing facts and situations and applying creative thinking to develop appropriate solutions</w:t>
            </w:r>
          </w:p>
        </w:tc>
      </w:tr>
      <w:tr w:rsidR="008E491C" w:rsidRPr="001920AB" w:rsidTr="005306AD">
        <w:trPr>
          <w:trHeight w:val="112"/>
        </w:trPr>
        <w:tc>
          <w:tcPr>
            <w:tcW w:w="2518" w:type="dxa"/>
            <w:tcBorders>
              <w:top w:val="single" w:sz="4" w:space="0" w:color="0F6FC6"/>
            </w:tcBorders>
            <w:shd w:val="clear" w:color="auto" w:fill="FFFFFF"/>
          </w:tcPr>
          <w:p w:rsidR="008E491C" w:rsidRPr="001920AB" w:rsidRDefault="008E491C" w:rsidP="005306AD">
            <w:pPr>
              <w:pStyle w:val="NormalWeb"/>
              <w:spacing w:line="360" w:lineRule="auto"/>
              <w:rPr>
                <w:rFonts w:ascii="Calibri" w:hAnsi="Calibri" w:cs="Calibri"/>
                <w:b/>
                <w:bCs/>
              </w:rPr>
            </w:pPr>
          </w:p>
        </w:tc>
        <w:tc>
          <w:tcPr>
            <w:tcW w:w="7058" w:type="dxa"/>
            <w:tcBorders>
              <w:top w:val="single" w:sz="4" w:space="0" w:color="0F6FC6"/>
            </w:tcBorders>
            <w:shd w:val="clear" w:color="auto" w:fill="FFFFFF"/>
          </w:tcPr>
          <w:p w:rsidR="008E491C" w:rsidRPr="001920AB" w:rsidRDefault="008E491C" w:rsidP="005306AD">
            <w:pPr>
              <w:pStyle w:val="NormalWeb"/>
              <w:spacing w:line="360" w:lineRule="auto"/>
              <w:jc w:val="both"/>
              <w:rPr>
                <w:rFonts w:ascii="Calibri" w:hAnsi="Calibri" w:cs="Calibri"/>
              </w:rPr>
            </w:pPr>
          </w:p>
        </w:tc>
      </w:tr>
      <w:tr w:rsidR="008E491C" w:rsidRPr="001920AB" w:rsidTr="005306AD">
        <w:tc>
          <w:tcPr>
            <w:tcW w:w="2518" w:type="dxa"/>
            <w:tcBorders>
              <w:left w:val="nil"/>
              <w:bottom w:val="single" w:sz="4" w:space="0" w:color="0F6FC6"/>
              <w:right w:val="nil"/>
            </w:tcBorders>
            <w:shd w:val="clear" w:color="auto" w:fill="FFFFFF"/>
          </w:tcPr>
          <w:p w:rsidR="008E491C" w:rsidRPr="001920AB" w:rsidRDefault="008E491C" w:rsidP="005306AD">
            <w:pPr>
              <w:pStyle w:val="NormalWeb"/>
              <w:spacing w:line="360" w:lineRule="auto"/>
              <w:rPr>
                <w:rFonts w:ascii="Calibri" w:hAnsi="Calibri" w:cs="Calibri"/>
                <w:b/>
                <w:bCs/>
              </w:rPr>
            </w:pPr>
            <w:r w:rsidRPr="001920AB">
              <w:rPr>
                <w:rFonts w:ascii="Calibri" w:hAnsi="Calibri" w:cs="Calibri"/>
                <w:b/>
                <w:bCs/>
              </w:rPr>
              <w:t xml:space="preserve">Communication &amp; literacy </w:t>
            </w:r>
          </w:p>
        </w:tc>
        <w:tc>
          <w:tcPr>
            <w:tcW w:w="7058" w:type="dxa"/>
            <w:tcBorders>
              <w:left w:val="nil"/>
              <w:bottom w:val="single" w:sz="4" w:space="0" w:color="0F6FC6"/>
              <w:right w:val="nil"/>
            </w:tcBorders>
            <w:shd w:val="clear" w:color="auto" w:fill="FFFFFF"/>
          </w:tcPr>
          <w:p w:rsidR="008E491C" w:rsidRPr="001920AB" w:rsidRDefault="008E491C" w:rsidP="005306AD">
            <w:pPr>
              <w:pStyle w:val="NormalWeb"/>
              <w:spacing w:line="360" w:lineRule="auto"/>
              <w:jc w:val="both"/>
              <w:rPr>
                <w:rFonts w:ascii="Calibri" w:hAnsi="Calibri" w:cs="Calibri"/>
              </w:rPr>
            </w:pPr>
            <w:r w:rsidRPr="001920AB">
              <w:rPr>
                <w:rFonts w:ascii="Calibri" w:hAnsi="Calibri" w:cs="Calibri"/>
              </w:rPr>
              <w:t>Application of literacy, ability to produce clear, structured written work and oral literacy - including listening and questioning.</w:t>
            </w:r>
          </w:p>
        </w:tc>
      </w:tr>
      <w:tr w:rsidR="008E491C" w:rsidRPr="001920AB" w:rsidTr="005306AD">
        <w:trPr>
          <w:trHeight w:val="1122"/>
        </w:trPr>
        <w:tc>
          <w:tcPr>
            <w:tcW w:w="2518" w:type="dxa"/>
            <w:tcBorders>
              <w:top w:val="single" w:sz="4" w:space="0" w:color="0F6FC6"/>
              <w:bottom w:val="single" w:sz="4" w:space="0" w:color="0F6FC6"/>
            </w:tcBorders>
            <w:shd w:val="clear" w:color="auto" w:fill="FFFFFF"/>
          </w:tcPr>
          <w:p w:rsidR="008E491C" w:rsidRPr="001920AB" w:rsidRDefault="008E491C" w:rsidP="005306AD">
            <w:pPr>
              <w:pStyle w:val="NormalWeb"/>
              <w:spacing w:line="360" w:lineRule="auto"/>
              <w:rPr>
                <w:rFonts w:ascii="Calibri" w:hAnsi="Calibri" w:cs="Calibri"/>
                <w:b/>
                <w:bCs/>
              </w:rPr>
            </w:pPr>
            <w:r w:rsidRPr="001920AB">
              <w:rPr>
                <w:rFonts w:ascii="Calibri" w:hAnsi="Calibri" w:cs="Calibri"/>
                <w:b/>
                <w:bCs/>
              </w:rPr>
              <w:t xml:space="preserve">Application of numeracy </w:t>
            </w:r>
          </w:p>
        </w:tc>
        <w:tc>
          <w:tcPr>
            <w:tcW w:w="7058" w:type="dxa"/>
            <w:tcBorders>
              <w:top w:val="single" w:sz="4" w:space="0" w:color="0F6FC6"/>
              <w:bottom w:val="single" w:sz="4" w:space="0" w:color="0F6FC6"/>
            </w:tcBorders>
            <w:shd w:val="clear" w:color="auto" w:fill="FFFFFF"/>
          </w:tcPr>
          <w:p w:rsidR="008E491C" w:rsidRPr="001920AB" w:rsidRDefault="008E491C" w:rsidP="005306AD">
            <w:pPr>
              <w:pStyle w:val="NormalWeb"/>
              <w:spacing w:line="360" w:lineRule="auto"/>
              <w:jc w:val="both"/>
              <w:rPr>
                <w:rFonts w:ascii="Calibri" w:hAnsi="Calibri" w:cs="Calibri"/>
              </w:rPr>
            </w:pPr>
            <w:r w:rsidRPr="001920AB">
              <w:rPr>
                <w:rFonts w:ascii="Calibri" w:hAnsi="Calibri" w:cs="Calibri"/>
              </w:rPr>
              <w:t>Manipulation of numbers, general mathematical awareness and its application in practical contexts (e.g. measuring, weighing, estimating and applying formulae).</w:t>
            </w:r>
          </w:p>
        </w:tc>
      </w:tr>
      <w:tr w:rsidR="008E491C" w:rsidRPr="001920AB" w:rsidTr="005306AD">
        <w:trPr>
          <w:trHeight w:val="187"/>
        </w:trPr>
        <w:tc>
          <w:tcPr>
            <w:tcW w:w="2518" w:type="dxa"/>
            <w:tcBorders>
              <w:top w:val="single" w:sz="4" w:space="0" w:color="0F6FC6"/>
              <w:left w:val="nil"/>
              <w:right w:val="nil"/>
            </w:tcBorders>
            <w:shd w:val="clear" w:color="auto" w:fill="FFFFFF"/>
          </w:tcPr>
          <w:p w:rsidR="008E491C" w:rsidRPr="001920AB" w:rsidRDefault="008E491C" w:rsidP="005306AD">
            <w:pPr>
              <w:pStyle w:val="NormalWeb"/>
              <w:spacing w:line="360" w:lineRule="auto"/>
              <w:rPr>
                <w:rFonts w:ascii="Calibri" w:hAnsi="Calibri" w:cs="Calibri"/>
                <w:b/>
                <w:bCs/>
              </w:rPr>
            </w:pPr>
          </w:p>
        </w:tc>
        <w:tc>
          <w:tcPr>
            <w:tcW w:w="7058" w:type="dxa"/>
            <w:tcBorders>
              <w:top w:val="single" w:sz="4" w:space="0" w:color="0F6FC6"/>
              <w:left w:val="nil"/>
              <w:right w:val="nil"/>
            </w:tcBorders>
            <w:shd w:val="clear" w:color="auto" w:fill="FFFFFF"/>
          </w:tcPr>
          <w:p w:rsidR="008E491C" w:rsidRPr="001920AB" w:rsidRDefault="008E491C" w:rsidP="005306AD">
            <w:pPr>
              <w:pStyle w:val="NormalWeb"/>
              <w:spacing w:line="360" w:lineRule="auto"/>
              <w:jc w:val="both"/>
              <w:rPr>
                <w:rFonts w:ascii="Calibri" w:hAnsi="Calibri" w:cs="Calibri"/>
              </w:rPr>
            </w:pPr>
          </w:p>
        </w:tc>
      </w:tr>
      <w:tr w:rsidR="008E491C" w:rsidRPr="001920AB" w:rsidTr="005306AD">
        <w:tc>
          <w:tcPr>
            <w:tcW w:w="2518" w:type="dxa"/>
            <w:shd w:val="clear" w:color="auto" w:fill="FFFFFF"/>
          </w:tcPr>
          <w:p w:rsidR="008E491C" w:rsidRPr="001920AB" w:rsidRDefault="008E491C" w:rsidP="005306AD">
            <w:pPr>
              <w:pStyle w:val="NormalWeb"/>
              <w:spacing w:line="360" w:lineRule="auto"/>
              <w:rPr>
                <w:rFonts w:ascii="Calibri" w:hAnsi="Calibri" w:cs="Calibri"/>
                <w:b/>
                <w:bCs/>
              </w:rPr>
            </w:pPr>
            <w:r w:rsidRPr="001920AB">
              <w:rPr>
                <w:rFonts w:ascii="Calibri" w:hAnsi="Calibri" w:cs="Calibri"/>
                <w:b/>
                <w:bCs/>
              </w:rPr>
              <w:t>Application of Information Technology</w:t>
            </w:r>
          </w:p>
        </w:tc>
        <w:tc>
          <w:tcPr>
            <w:tcW w:w="7058" w:type="dxa"/>
            <w:shd w:val="clear" w:color="auto" w:fill="FFFFFF"/>
          </w:tcPr>
          <w:p w:rsidR="008E491C" w:rsidRPr="001920AB" w:rsidRDefault="008E491C" w:rsidP="005306AD">
            <w:pPr>
              <w:pStyle w:val="NormalWeb"/>
              <w:spacing w:line="360" w:lineRule="auto"/>
              <w:jc w:val="both"/>
              <w:rPr>
                <w:rFonts w:ascii="Calibri" w:hAnsi="Calibri" w:cs="Calibri"/>
              </w:rPr>
            </w:pPr>
            <w:r w:rsidRPr="001920AB">
              <w:rPr>
                <w:rFonts w:ascii="Calibri" w:hAnsi="Calibri" w:cs="Calibri"/>
              </w:rPr>
              <w:t>Basic IT skills, including familiarity with word processing, spread sheets, file management and use of internet search engines.</w:t>
            </w:r>
          </w:p>
        </w:tc>
      </w:tr>
    </w:tbl>
    <w:bookmarkEnd w:id="1"/>
    <w:bookmarkEnd w:id="2"/>
    <w:p w:rsidR="008E491C" w:rsidRPr="005F155C" w:rsidRDefault="00AF6037" w:rsidP="008E491C">
      <w:pPr>
        <w:shd w:val="clear" w:color="auto" w:fill="FFFFFF"/>
        <w:spacing w:line="240" w:lineRule="auto"/>
        <w:ind w:firstLine="720"/>
        <w:rPr>
          <w:rFonts w:eastAsia="Times New Roman" w:cs="Segoe UI"/>
          <w:color w:val="212121"/>
          <w:sz w:val="24"/>
          <w:szCs w:val="24"/>
          <w:lang w:eastAsia="en-GB"/>
        </w:rPr>
      </w:pPr>
      <w:r>
        <w:rPr>
          <w:rFonts w:eastAsia="Times New Roman" w:cs="Segoe UI"/>
          <w:color w:val="212121"/>
          <w:sz w:val="24"/>
          <w:szCs w:val="24"/>
          <w:lang w:eastAsia="en-GB"/>
        </w:rPr>
        <w:br/>
      </w:r>
      <w:r>
        <w:rPr>
          <w:rFonts w:eastAsia="Times New Roman" w:cs="Segoe UI"/>
          <w:color w:val="212121"/>
          <w:sz w:val="24"/>
          <w:szCs w:val="24"/>
          <w:lang w:eastAsia="en-GB"/>
        </w:rPr>
        <w:tab/>
      </w:r>
    </w:p>
    <w:p w:rsidR="005F155C" w:rsidRPr="005F155C" w:rsidRDefault="005F155C" w:rsidP="005F155C">
      <w:pPr>
        <w:shd w:val="clear" w:color="auto" w:fill="FFFFFF"/>
        <w:spacing w:after="0" w:line="240" w:lineRule="auto"/>
        <w:rPr>
          <w:rFonts w:eastAsia="Times New Roman" w:cs="Segoe UI"/>
          <w:color w:val="212121"/>
          <w:sz w:val="24"/>
          <w:szCs w:val="24"/>
          <w:lang w:eastAsia="en-GB"/>
        </w:rPr>
      </w:pPr>
      <w:r w:rsidRPr="005F155C">
        <w:rPr>
          <w:rFonts w:eastAsia="Times New Roman" w:cs="Segoe UI"/>
          <w:color w:val="212121"/>
          <w:sz w:val="24"/>
          <w:szCs w:val="24"/>
          <w:lang w:eastAsia="en-GB"/>
        </w:rPr>
        <w:t> </w:t>
      </w:r>
    </w:p>
    <w:sectPr w:rsidR="005F155C" w:rsidRPr="005F155C" w:rsidSect="002505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erpetua">
    <w:altName w:val="Baskerville Old Face"/>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12541"/>
    <w:multiLevelType w:val="hybridMultilevel"/>
    <w:tmpl w:val="E53E2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EF0"/>
    <w:rsid w:val="0004148C"/>
    <w:rsid w:val="000550C6"/>
    <w:rsid w:val="0025054D"/>
    <w:rsid w:val="00444D2D"/>
    <w:rsid w:val="004E0EE0"/>
    <w:rsid w:val="005934E4"/>
    <w:rsid w:val="005F155C"/>
    <w:rsid w:val="00791EF0"/>
    <w:rsid w:val="00806D94"/>
    <w:rsid w:val="008607F6"/>
    <w:rsid w:val="008E491C"/>
    <w:rsid w:val="009B5FC4"/>
    <w:rsid w:val="009E48C7"/>
    <w:rsid w:val="00AA1409"/>
    <w:rsid w:val="00AF6037"/>
    <w:rsid w:val="00BC1595"/>
    <w:rsid w:val="00D659E5"/>
    <w:rsid w:val="00F85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54D"/>
  </w:style>
  <w:style w:type="paragraph" w:styleId="Heading1">
    <w:name w:val="heading 1"/>
    <w:basedOn w:val="Normal"/>
    <w:next w:val="Normal"/>
    <w:link w:val="Heading1Char"/>
    <w:uiPriority w:val="9"/>
    <w:qFormat/>
    <w:rsid w:val="005934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934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E0E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8E491C"/>
    <w:rPr>
      <w:rFonts w:ascii="Perpetua" w:hAnsi="Perpetua"/>
      <w:b/>
      <w:color w:val="009DD9"/>
    </w:rPr>
  </w:style>
  <w:style w:type="paragraph" w:styleId="NormalWeb">
    <w:name w:val="Normal (Web)"/>
    <w:basedOn w:val="Normal"/>
    <w:uiPriority w:val="99"/>
    <w:unhideWhenUsed/>
    <w:rsid w:val="008E49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E491C"/>
    <w:rPr>
      <w:color w:val="0563C1" w:themeColor="hyperlink"/>
      <w:u w:val="single"/>
    </w:rPr>
  </w:style>
  <w:style w:type="table" w:styleId="TableGrid">
    <w:name w:val="Table Grid"/>
    <w:basedOn w:val="TableNormal"/>
    <w:uiPriority w:val="39"/>
    <w:rsid w:val="008E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34E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934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934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54D"/>
  </w:style>
  <w:style w:type="paragraph" w:styleId="Heading1">
    <w:name w:val="heading 1"/>
    <w:basedOn w:val="Normal"/>
    <w:next w:val="Normal"/>
    <w:link w:val="Heading1Char"/>
    <w:uiPriority w:val="9"/>
    <w:qFormat/>
    <w:rsid w:val="005934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934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E0E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8E491C"/>
    <w:rPr>
      <w:rFonts w:ascii="Perpetua" w:hAnsi="Perpetua"/>
      <w:b/>
      <w:color w:val="009DD9"/>
    </w:rPr>
  </w:style>
  <w:style w:type="paragraph" w:styleId="NormalWeb">
    <w:name w:val="Normal (Web)"/>
    <w:basedOn w:val="Normal"/>
    <w:uiPriority w:val="99"/>
    <w:unhideWhenUsed/>
    <w:rsid w:val="008E49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E491C"/>
    <w:rPr>
      <w:color w:val="0563C1" w:themeColor="hyperlink"/>
      <w:u w:val="single"/>
    </w:rPr>
  </w:style>
  <w:style w:type="table" w:styleId="TableGrid">
    <w:name w:val="Table Grid"/>
    <w:basedOn w:val="TableNormal"/>
    <w:uiPriority w:val="39"/>
    <w:rsid w:val="008E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34E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934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93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88456">
      <w:bodyDiv w:val="1"/>
      <w:marLeft w:val="0"/>
      <w:marRight w:val="0"/>
      <w:marTop w:val="0"/>
      <w:marBottom w:val="0"/>
      <w:divBdr>
        <w:top w:val="none" w:sz="0" w:space="0" w:color="auto"/>
        <w:left w:val="none" w:sz="0" w:space="0" w:color="auto"/>
        <w:bottom w:val="none" w:sz="0" w:space="0" w:color="auto"/>
        <w:right w:val="none" w:sz="0" w:space="0" w:color="auto"/>
      </w:divBdr>
      <w:divsChild>
        <w:div w:id="1084912945">
          <w:marLeft w:val="0"/>
          <w:marRight w:val="0"/>
          <w:marTop w:val="0"/>
          <w:marBottom w:val="0"/>
          <w:divBdr>
            <w:top w:val="none" w:sz="0" w:space="0" w:color="auto"/>
            <w:left w:val="none" w:sz="0" w:space="0" w:color="auto"/>
            <w:bottom w:val="none" w:sz="0" w:space="0" w:color="auto"/>
            <w:right w:val="none" w:sz="0" w:space="0" w:color="auto"/>
          </w:divBdr>
        </w:div>
        <w:div w:id="1948779640">
          <w:marLeft w:val="0"/>
          <w:marRight w:val="0"/>
          <w:marTop w:val="0"/>
          <w:marBottom w:val="0"/>
          <w:divBdr>
            <w:top w:val="none" w:sz="0" w:space="0" w:color="auto"/>
            <w:left w:val="none" w:sz="0" w:space="0" w:color="auto"/>
            <w:bottom w:val="none" w:sz="0" w:space="0" w:color="auto"/>
            <w:right w:val="none" w:sz="0" w:space="0" w:color="auto"/>
          </w:divBdr>
        </w:div>
        <w:div w:id="1792548431">
          <w:marLeft w:val="0"/>
          <w:marRight w:val="0"/>
          <w:marTop w:val="0"/>
          <w:marBottom w:val="0"/>
          <w:divBdr>
            <w:top w:val="none" w:sz="0" w:space="0" w:color="auto"/>
            <w:left w:val="none" w:sz="0" w:space="0" w:color="auto"/>
            <w:bottom w:val="none" w:sz="0" w:space="0" w:color="auto"/>
            <w:right w:val="none" w:sz="0" w:space="0" w:color="auto"/>
          </w:divBdr>
        </w:div>
        <w:div w:id="1070343999">
          <w:marLeft w:val="0"/>
          <w:marRight w:val="0"/>
          <w:marTop w:val="0"/>
          <w:marBottom w:val="0"/>
          <w:divBdr>
            <w:top w:val="none" w:sz="0" w:space="0" w:color="auto"/>
            <w:left w:val="none" w:sz="0" w:space="0" w:color="auto"/>
            <w:bottom w:val="none" w:sz="0" w:space="0" w:color="auto"/>
            <w:right w:val="none" w:sz="0" w:space="0" w:color="auto"/>
          </w:divBdr>
        </w:div>
        <w:div w:id="842823006">
          <w:marLeft w:val="0"/>
          <w:marRight w:val="0"/>
          <w:marTop w:val="0"/>
          <w:marBottom w:val="0"/>
          <w:divBdr>
            <w:top w:val="none" w:sz="0" w:space="0" w:color="auto"/>
            <w:left w:val="none" w:sz="0" w:space="0" w:color="auto"/>
            <w:bottom w:val="none" w:sz="0" w:space="0" w:color="auto"/>
            <w:right w:val="none" w:sz="0" w:space="0" w:color="auto"/>
          </w:divBdr>
        </w:div>
        <w:div w:id="1285114649">
          <w:marLeft w:val="0"/>
          <w:marRight w:val="0"/>
          <w:marTop w:val="0"/>
          <w:marBottom w:val="0"/>
          <w:divBdr>
            <w:top w:val="none" w:sz="0" w:space="0" w:color="auto"/>
            <w:left w:val="none" w:sz="0" w:space="0" w:color="auto"/>
            <w:bottom w:val="none" w:sz="0" w:space="0" w:color="auto"/>
            <w:right w:val="none" w:sz="0" w:space="0" w:color="auto"/>
          </w:divBdr>
        </w:div>
        <w:div w:id="168258752">
          <w:marLeft w:val="0"/>
          <w:marRight w:val="0"/>
          <w:marTop w:val="0"/>
          <w:marBottom w:val="0"/>
          <w:divBdr>
            <w:top w:val="none" w:sz="0" w:space="0" w:color="auto"/>
            <w:left w:val="none" w:sz="0" w:space="0" w:color="auto"/>
            <w:bottom w:val="none" w:sz="0" w:space="0" w:color="auto"/>
            <w:right w:val="none" w:sz="0" w:space="0" w:color="auto"/>
          </w:divBdr>
        </w:div>
        <w:div w:id="856428824">
          <w:marLeft w:val="0"/>
          <w:marRight w:val="0"/>
          <w:marTop w:val="0"/>
          <w:marBottom w:val="0"/>
          <w:divBdr>
            <w:top w:val="none" w:sz="0" w:space="0" w:color="auto"/>
            <w:left w:val="none" w:sz="0" w:space="0" w:color="auto"/>
            <w:bottom w:val="none" w:sz="0" w:space="0" w:color="auto"/>
            <w:right w:val="none" w:sz="0" w:space="0" w:color="auto"/>
          </w:divBdr>
        </w:div>
        <w:div w:id="967782814">
          <w:marLeft w:val="0"/>
          <w:marRight w:val="0"/>
          <w:marTop w:val="0"/>
          <w:marBottom w:val="0"/>
          <w:divBdr>
            <w:top w:val="none" w:sz="0" w:space="0" w:color="auto"/>
            <w:left w:val="none" w:sz="0" w:space="0" w:color="auto"/>
            <w:bottom w:val="none" w:sz="0" w:space="0" w:color="auto"/>
            <w:right w:val="none" w:sz="0" w:space="0" w:color="auto"/>
          </w:divBdr>
          <w:divsChild>
            <w:div w:id="1227112730">
              <w:marLeft w:val="0"/>
              <w:marRight w:val="0"/>
              <w:marTop w:val="280"/>
              <w:marBottom w:val="280"/>
              <w:divBdr>
                <w:top w:val="none" w:sz="0" w:space="0" w:color="auto"/>
                <w:left w:val="none" w:sz="0" w:space="0" w:color="auto"/>
                <w:bottom w:val="none" w:sz="0" w:space="0" w:color="auto"/>
                <w:right w:val="none" w:sz="0" w:space="0" w:color="auto"/>
              </w:divBdr>
            </w:div>
            <w:div w:id="549732604">
              <w:marLeft w:val="0"/>
              <w:marRight w:val="0"/>
              <w:marTop w:val="280"/>
              <w:marBottom w:val="280"/>
              <w:divBdr>
                <w:top w:val="none" w:sz="0" w:space="0" w:color="auto"/>
                <w:left w:val="none" w:sz="0" w:space="0" w:color="auto"/>
                <w:bottom w:val="none" w:sz="0" w:space="0" w:color="auto"/>
                <w:right w:val="none" w:sz="0" w:space="0" w:color="auto"/>
              </w:divBdr>
            </w:div>
            <w:div w:id="247735952">
              <w:marLeft w:val="2160"/>
              <w:marRight w:val="0"/>
              <w:marTop w:val="280"/>
              <w:marBottom w:val="280"/>
              <w:divBdr>
                <w:top w:val="none" w:sz="0" w:space="0" w:color="auto"/>
                <w:left w:val="none" w:sz="0" w:space="0" w:color="auto"/>
                <w:bottom w:val="none" w:sz="0" w:space="0" w:color="auto"/>
                <w:right w:val="none" w:sz="0" w:space="0" w:color="auto"/>
              </w:divBdr>
            </w:div>
            <w:div w:id="80103727">
              <w:marLeft w:val="0"/>
              <w:marRight w:val="0"/>
              <w:marTop w:val="280"/>
              <w:marBottom w:val="280"/>
              <w:divBdr>
                <w:top w:val="none" w:sz="0" w:space="0" w:color="auto"/>
                <w:left w:val="none" w:sz="0" w:space="0" w:color="auto"/>
                <w:bottom w:val="none" w:sz="0" w:space="0" w:color="auto"/>
                <w:right w:val="none" w:sz="0" w:space="0" w:color="auto"/>
              </w:divBdr>
            </w:div>
            <w:div w:id="489099332">
              <w:marLeft w:val="0"/>
              <w:marRight w:val="0"/>
              <w:marTop w:val="280"/>
              <w:marBottom w:val="280"/>
              <w:divBdr>
                <w:top w:val="none" w:sz="0" w:space="0" w:color="auto"/>
                <w:left w:val="none" w:sz="0" w:space="0" w:color="auto"/>
                <w:bottom w:val="none" w:sz="0" w:space="0" w:color="auto"/>
                <w:right w:val="none" w:sz="0" w:space="0" w:color="auto"/>
              </w:divBdr>
            </w:div>
            <w:div w:id="2111856198">
              <w:marLeft w:val="1440"/>
              <w:marRight w:val="0"/>
              <w:marTop w:val="280"/>
              <w:marBottom w:val="280"/>
              <w:divBdr>
                <w:top w:val="none" w:sz="0" w:space="0" w:color="auto"/>
                <w:left w:val="none" w:sz="0" w:space="0" w:color="auto"/>
                <w:bottom w:val="none" w:sz="0" w:space="0" w:color="auto"/>
                <w:right w:val="none" w:sz="0" w:space="0" w:color="auto"/>
              </w:divBdr>
            </w:div>
            <w:div w:id="950748308">
              <w:marLeft w:val="720"/>
              <w:marRight w:val="0"/>
              <w:marTop w:val="280"/>
              <w:marBottom w:val="280"/>
              <w:divBdr>
                <w:top w:val="none" w:sz="0" w:space="0" w:color="auto"/>
                <w:left w:val="none" w:sz="0" w:space="0" w:color="auto"/>
                <w:bottom w:val="none" w:sz="0" w:space="0" w:color="auto"/>
                <w:right w:val="none" w:sz="0" w:space="0" w:color="auto"/>
              </w:divBdr>
            </w:div>
            <w:div w:id="1882357648">
              <w:marLeft w:val="720"/>
              <w:marRight w:val="0"/>
              <w:marTop w:val="280"/>
              <w:marBottom w:val="280"/>
              <w:divBdr>
                <w:top w:val="none" w:sz="0" w:space="0" w:color="auto"/>
                <w:left w:val="none" w:sz="0" w:space="0" w:color="auto"/>
                <w:bottom w:val="none" w:sz="0" w:space="0" w:color="auto"/>
                <w:right w:val="none" w:sz="0" w:space="0" w:color="auto"/>
              </w:divBdr>
            </w:div>
            <w:div w:id="1773430304">
              <w:marLeft w:val="720"/>
              <w:marRight w:val="0"/>
              <w:marTop w:val="280"/>
              <w:marBottom w:val="0"/>
              <w:divBdr>
                <w:top w:val="none" w:sz="0" w:space="0" w:color="auto"/>
                <w:left w:val="none" w:sz="0" w:space="0" w:color="auto"/>
                <w:bottom w:val="none" w:sz="0" w:space="0" w:color="auto"/>
                <w:right w:val="none" w:sz="0" w:space="0" w:color="auto"/>
              </w:divBdr>
            </w:div>
            <w:div w:id="2138137962">
              <w:marLeft w:val="720"/>
              <w:marRight w:val="0"/>
              <w:marTop w:val="280"/>
              <w:marBottom w:val="0"/>
              <w:divBdr>
                <w:top w:val="none" w:sz="0" w:space="0" w:color="auto"/>
                <w:left w:val="none" w:sz="0" w:space="0" w:color="auto"/>
                <w:bottom w:val="none" w:sz="0" w:space="0" w:color="auto"/>
                <w:right w:val="none" w:sz="0" w:space="0" w:color="auto"/>
              </w:divBdr>
            </w:div>
            <w:div w:id="691803890">
              <w:marLeft w:val="720"/>
              <w:marRight w:val="0"/>
              <w:marTop w:val="280"/>
              <w:marBottom w:val="0"/>
              <w:divBdr>
                <w:top w:val="none" w:sz="0" w:space="0" w:color="auto"/>
                <w:left w:val="none" w:sz="0" w:space="0" w:color="auto"/>
                <w:bottom w:val="none" w:sz="0" w:space="0" w:color="auto"/>
                <w:right w:val="none" w:sz="0" w:space="0" w:color="auto"/>
              </w:divBdr>
            </w:div>
            <w:div w:id="1086849822">
              <w:marLeft w:val="720"/>
              <w:marRight w:val="0"/>
              <w:marTop w:val="280"/>
              <w:marBottom w:val="0"/>
              <w:divBdr>
                <w:top w:val="none" w:sz="0" w:space="0" w:color="auto"/>
                <w:left w:val="none" w:sz="0" w:space="0" w:color="auto"/>
                <w:bottom w:val="none" w:sz="0" w:space="0" w:color="auto"/>
                <w:right w:val="none" w:sz="0" w:space="0" w:color="auto"/>
              </w:divBdr>
            </w:div>
            <w:div w:id="522669700">
              <w:marLeft w:val="720"/>
              <w:marRight w:val="0"/>
              <w:marTop w:val="280"/>
              <w:marBottom w:val="0"/>
              <w:divBdr>
                <w:top w:val="none" w:sz="0" w:space="0" w:color="auto"/>
                <w:left w:val="none" w:sz="0" w:space="0" w:color="auto"/>
                <w:bottom w:val="none" w:sz="0" w:space="0" w:color="auto"/>
                <w:right w:val="none" w:sz="0" w:space="0" w:color="auto"/>
              </w:divBdr>
            </w:div>
            <w:div w:id="894850166">
              <w:marLeft w:val="1440"/>
              <w:marRight w:val="0"/>
              <w:marTop w:val="280"/>
              <w:marBottom w:val="0"/>
              <w:divBdr>
                <w:top w:val="none" w:sz="0" w:space="0" w:color="auto"/>
                <w:left w:val="none" w:sz="0" w:space="0" w:color="auto"/>
                <w:bottom w:val="none" w:sz="0" w:space="0" w:color="auto"/>
                <w:right w:val="none" w:sz="0" w:space="0" w:color="auto"/>
              </w:divBdr>
            </w:div>
            <w:div w:id="1625841549">
              <w:marLeft w:val="0"/>
              <w:marRight w:val="0"/>
              <w:marTop w:val="0"/>
              <w:marBottom w:val="0"/>
              <w:divBdr>
                <w:top w:val="none" w:sz="0" w:space="0" w:color="auto"/>
                <w:left w:val="none" w:sz="0" w:space="0" w:color="auto"/>
                <w:bottom w:val="none" w:sz="0" w:space="0" w:color="auto"/>
                <w:right w:val="none" w:sz="0" w:space="0" w:color="auto"/>
              </w:divBdr>
            </w:div>
            <w:div w:id="1045519687">
              <w:marLeft w:val="1440"/>
              <w:marRight w:val="0"/>
              <w:marTop w:val="280"/>
              <w:marBottom w:val="0"/>
              <w:divBdr>
                <w:top w:val="none" w:sz="0" w:space="0" w:color="auto"/>
                <w:left w:val="none" w:sz="0" w:space="0" w:color="auto"/>
                <w:bottom w:val="none" w:sz="0" w:space="0" w:color="auto"/>
                <w:right w:val="none" w:sz="0" w:space="0" w:color="auto"/>
              </w:divBdr>
            </w:div>
            <w:div w:id="125710209">
              <w:marLeft w:val="1440"/>
              <w:marRight w:val="0"/>
              <w:marTop w:val="280"/>
              <w:marBottom w:val="0"/>
              <w:divBdr>
                <w:top w:val="none" w:sz="0" w:space="0" w:color="auto"/>
                <w:left w:val="none" w:sz="0" w:space="0" w:color="auto"/>
                <w:bottom w:val="none" w:sz="0" w:space="0" w:color="auto"/>
                <w:right w:val="none" w:sz="0" w:space="0" w:color="auto"/>
              </w:divBdr>
            </w:div>
            <w:div w:id="1901745257">
              <w:marLeft w:val="1440"/>
              <w:marRight w:val="0"/>
              <w:marTop w:val="280"/>
              <w:marBottom w:val="0"/>
              <w:divBdr>
                <w:top w:val="none" w:sz="0" w:space="0" w:color="auto"/>
                <w:left w:val="none" w:sz="0" w:space="0" w:color="auto"/>
                <w:bottom w:val="none" w:sz="0" w:space="0" w:color="auto"/>
                <w:right w:val="none" w:sz="0" w:space="0" w:color="auto"/>
              </w:divBdr>
            </w:div>
            <w:div w:id="1316565826">
              <w:marLeft w:val="1440"/>
              <w:marRight w:val="0"/>
              <w:marTop w:val="280"/>
              <w:marBottom w:val="0"/>
              <w:divBdr>
                <w:top w:val="none" w:sz="0" w:space="0" w:color="auto"/>
                <w:left w:val="none" w:sz="0" w:space="0" w:color="auto"/>
                <w:bottom w:val="none" w:sz="0" w:space="0" w:color="auto"/>
                <w:right w:val="none" w:sz="0" w:space="0" w:color="auto"/>
              </w:divBdr>
            </w:div>
            <w:div w:id="1913076390">
              <w:marLeft w:val="1440"/>
              <w:marRight w:val="0"/>
              <w:marTop w:val="280"/>
              <w:marBottom w:val="0"/>
              <w:divBdr>
                <w:top w:val="none" w:sz="0" w:space="0" w:color="auto"/>
                <w:left w:val="none" w:sz="0" w:space="0" w:color="auto"/>
                <w:bottom w:val="none" w:sz="0" w:space="0" w:color="auto"/>
                <w:right w:val="none" w:sz="0" w:space="0" w:color="auto"/>
              </w:divBdr>
            </w:div>
            <w:div w:id="456877091">
              <w:marLeft w:val="1440"/>
              <w:marRight w:val="0"/>
              <w:marTop w:val="280"/>
              <w:marBottom w:val="0"/>
              <w:divBdr>
                <w:top w:val="none" w:sz="0" w:space="0" w:color="auto"/>
                <w:left w:val="none" w:sz="0" w:space="0" w:color="auto"/>
                <w:bottom w:val="none" w:sz="0" w:space="0" w:color="auto"/>
                <w:right w:val="none" w:sz="0" w:space="0" w:color="auto"/>
              </w:divBdr>
            </w:div>
            <w:div w:id="972717045">
              <w:marLeft w:val="1440"/>
              <w:marRight w:val="0"/>
              <w:marTop w:val="280"/>
              <w:marBottom w:val="0"/>
              <w:divBdr>
                <w:top w:val="none" w:sz="0" w:space="0" w:color="auto"/>
                <w:left w:val="none" w:sz="0" w:space="0" w:color="auto"/>
                <w:bottom w:val="none" w:sz="0" w:space="0" w:color="auto"/>
                <w:right w:val="none" w:sz="0" w:space="0" w:color="auto"/>
              </w:divBdr>
            </w:div>
            <w:div w:id="347876105">
              <w:marLeft w:val="1440"/>
              <w:marRight w:val="0"/>
              <w:marTop w:val="280"/>
              <w:marBottom w:val="0"/>
              <w:divBdr>
                <w:top w:val="none" w:sz="0" w:space="0" w:color="auto"/>
                <w:left w:val="none" w:sz="0" w:space="0" w:color="auto"/>
                <w:bottom w:val="none" w:sz="0" w:space="0" w:color="auto"/>
                <w:right w:val="none" w:sz="0" w:space="0" w:color="auto"/>
              </w:divBdr>
            </w:div>
            <w:div w:id="403340773">
              <w:marLeft w:val="1440"/>
              <w:marRight w:val="0"/>
              <w:marTop w:val="280"/>
              <w:marBottom w:val="0"/>
              <w:divBdr>
                <w:top w:val="none" w:sz="0" w:space="0" w:color="auto"/>
                <w:left w:val="none" w:sz="0" w:space="0" w:color="auto"/>
                <w:bottom w:val="none" w:sz="0" w:space="0" w:color="auto"/>
                <w:right w:val="none" w:sz="0" w:space="0" w:color="auto"/>
              </w:divBdr>
            </w:div>
            <w:div w:id="1617634929">
              <w:marLeft w:val="1440"/>
              <w:marRight w:val="0"/>
              <w:marTop w:val="280"/>
              <w:marBottom w:val="0"/>
              <w:divBdr>
                <w:top w:val="none" w:sz="0" w:space="0" w:color="auto"/>
                <w:left w:val="none" w:sz="0" w:space="0" w:color="auto"/>
                <w:bottom w:val="none" w:sz="0" w:space="0" w:color="auto"/>
                <w:right w:val="none" w:sz="0" w:space="0" w:color="auto"/>
              </w:divBdr>
            </w:div>
            <w:div w:id="1067647491">
              <w:marLeft w:val="1440"/>
              <w:marRight w:val="0"/>
              <w:marTop w:val="28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tats.oecd.org/glossary/detail.asp?ID=31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3952D7-28C2-419D-A93C-84ABF3DED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Southampton Solent University</Company>
  <LinksUpToDate>false</LinksUpToDate>
  <CharactersWithSpaces>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Strachan</dc:creator>
  <cp:lastModifiedBy>Owner</cp:lastModifiedBy>
  <cp:revision>2</cp:revision>
  <dcterms:created xsi:type="dcterms:W3CDTF">2016-06-10T09:36:00Z</dcterms:created>
  <dcterms:modified xsi:type="dcterms:W3CDTF">2016-06-10T09:36:00Z</dcterms:modified>
</cp:coreProperties>
</file>